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Maïs ornemental : partir de la destination annoncée plutôt que du mot maïs</w:t>
      </w:r>
    </w:p>
    <w:p>
      <w:r>
        <w:t>Choisir un maïs ornemental ne consiste pas seulement à comparer une photographie d’épis ou une couleur. Avant de présenter une référence, il faut déterminer l’usage attendu : effet décoratif, plantation en massif ou consommation. Cette clarification protège la destination annoncée du produit et évite de lui attribuer des promesses alimentaires ou variétales qui ne figurent pas dans le catalogue.</w:t>
      </w:r>
    </w:p>
    <w:p>
      <w:pPr>
        <w:pStyle w:val="Heading1"/>
      </w:pPr>
      <w:r>
        <w:t>Définir le projet avant de parler couleur</w:t>
      </w:r>
    </w:p>
    <w:p>
      <w:r>
        <w:t>La première question porte sur l’usage envisagé. Un client cherche-t-il des épis pour une décoration, une plante pour composer un massif ou du maïs à manger ? Ces besoins doivent être distingués avant toute discussion sur l’apparence. Une photographie montre un effet possible, mais ne permet pas d’établir une qualité culinaire ni de déduire les caractéristiques de toutes les plantes. Le vendeur doit retrouver la description de la référence proposée et répondre au besoin formulé.</w:t>
      </w:r>
    </w:p>
    <w:p>
      <w:pPr>
        <w:pStyle w:val="Heading1"/>
      </w:pPr>
      <w:r>
        <w:t>Rester fidèle aux informations de la référence</w:t>
      </w:r>
    </w:p>
    <w:p>
      <w:r>
        <w:t>La catégorie française de Bulk Seeds International est présentée comme du maïs ornemental. Cette destination doit être conservée dans les descriptions et les tableaux d’achat, sans reprendre les promesses associées au maïs doux. Le guide de la RHS consacré au sweetcorn décrit un parcours de culture alimentaire et ne permet pas d’assimiler chaque maïs décoratif à une variété douce. Si une question concerne un autre usage, le complément documentaire doit être demandé plutôt qu’une présentation modifiée par supposition.</w:t>
      </w:r>
    </w:p>
    <w:p>
      <w:pPr>
        <w:pStyle w:val="Heading1"/>
      </w:pPr>
      <w:r>
        <w:t>Présenter les couleurs avec la précision attendue</w:t>
      </w:r>
    </w:p>
    <w:p>
      <w:r>
        <w:t>Les couleurs annoncées doivent être lues avec mesure. Une image regroupant plusieurs épis pour une présentation ne garantit pas la même répartition dans chaque culture. Il convient de vérifier ce que la fiche précise pour un mélange ou une variété. L’effet recherché peut être décrit sans promettre que chaque plante reproduira l’ensemble des teintes visibles. Cette approche distingue l’intention visuelle du catalogue des interprétations possibles de la photographie.</w:t>
      </w:r>
    </w:p>
    <w:p>
      <w:pPr>
        <w:pStyle w:val="Heading1"/>
      </w:pPr>
      <w:r>
        <w:t>Adapter les critères au jardinage et aux épis</w:t>
      </w:r>
    </w:p>
    <w:p>
      <w:r>
        <w:t>Pour un projet de jardin, la place disponible et l’effet visuel souhaité doivent être précisés. Une plante destinée à former un fond de massif n’est pas choisie comme un petit élément près d’une terrasse. Les dimensions et le port sont à vérifier pour la référence exacte, car le nombre de graines ne suffit pas à organiser une plantation. Lorsque l’intérêt porte sur les épis, il faut aussi comprendre leur utilisation et le niveau d’expérimentation accepté. Une décoration prévue pour une date fixe ne justifie pas de garantir une récolte synchronisée : la préparation peut inclure un essai et la reconnaissance des limites d’une production vivante.</w:t>
      </w:r>
    </w:p>
    <w:p>
      <w:pPr>
        <w:pStyle w:val="Heading1"/>
      </w:pPr>
      <w:r>
        <w:t>Conserver l’identité du produit jusqu’à la réception</w:t>
      </w:r>
    </w:p>
    <w:p>
      <w:r>
        <w:t>Dans une commande regroupée, les lignes de maïs doivent rester séparées selon leurs identités et destinations documentées. Un intitulé abrégé peut facilitate une substitution involontaire lors de la préparation ou du rangement. Les codes et les noms complets doivent donc demeurer accessibles à la personne qui réceptionne les produits, même si elle n’a pas suivi l’échange commercial. Cette précision rend l’assortiment plus lisible, facilite les comparaisons et évite qu’un terme familier crée une promesse alimentaire ou variétale non formulée par le catalogue.</w:t>
      </w:r>
    </w:p>
    <w:p>
      <w:pPr>
        <w:pStyle w:val="Heading1"/>
      </w:pPr>
      <w:r>
        <w:t>Articles associés</w:t>
      </w:r>
    </w:p>
    <w:p>
      <w:hyperlink r:id="rId9">
        <w:r>
          <w:rPr>
            <w:color w:val="087E75"/>
          </w:rPr>
          <w:t>Maïs ornemental : partir de la destination annoncée plutôt que du mot maïs</w:t>
        </w:r>
      </w:hyperlink>
    </w:p>
    <w:p>
      <w:hyperlink r:id="rId10">
        <w:r>
          <w:rPr>
            <w:color w:val="087E75"/>
          </w:rPr>
          <w:t>Périlla verte ou pourpre : distinguer une préférence visuelle et une identité documentée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pages.dev/mais-ornemental-partir-de-la-destination-annoncee-plutot-que-du-mot-mais/" TargetMode="External"/><Relationship Id="rId10" Type="http://schemas.openxmlformats.org/officeDocument/2006/relationships/hyperlink" Target="https://bulkseedsinternational-fr.pages.dev/perilla-verte-ou-pourpre-distinguer-une-preference-visuelle-et-une-identite-documen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