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Une description de semences change : conserver ce qui a fondé votre choix</w:t>
      </w:r>
    </w:p>
    <w:p>
      <w:r>
        <w:t>Une fiche de semences peut être modifiée sans que la référence elle-même change. Pour le revendeur, l’enjeu consiste alors à déterminer si l’évolution est une simple correction rédactionnelle ou si elle modifie l’identité, les caractéristiques ou le conseil previously communiqué. Une méthode légère de comparaison permet de conserver un historique fiable, de vérifier les supports concernés et d’éviter des changements arbitraires dans le catalogue comme au rayon.</w:t>
      </w:r>
    </w:p>
    <w:p>
      <w:pPr>
        <w:pStyle w:val="Heading1"/>
      </w:pPr>
      <w:r>
        <w:t>Comment conserver une trace comparable de la fiche ?</w:t>
      </w:r>
    </w:p>
    <w:p>
      <w:r>
        <w:t>Consignez dans le dossier d’achat la date de consultation ainsi que les informations qui ont motivé la sélection : identité de la semence, caractéristiques décisives et unité concernée. Il n’est pas nécessaire d’archiver l’ensemble du site. Cette trace doit permettre à un collègue de comprendre le choix effectué et de retrouver le contexte sans dépendre d’un souvenir oral.</w:t>
        <w:br/>
        <w:br/>
        <w:t>Lorsque la description evolve, comparez la version actuelle avec cette trace datée. La mémoire peut orienter la recherche, mais elle ne suffit pas à établir ce qui a réellement changé. Des notes factuelles, fondées sur les informations disponibles au moment de la décision, facilitent également la continuité des décisions de réassort.</w:t>
      </w:r>
    </w:p>
    <w:p>
      <w:pPr>
        <w:pStyle w:val="Heading1"/>
      </w:pPr>
      <w:r>
        <w:t>Quelle question poser pour distinguer une correction d’un changement d’identité ?</w:t>
      </w:r>
    </w:p>
    <w:p>
      <w:r>
        <w:t>Commencez par vérifier les codes et les dénominations. Un changement de formulation peut clarifier un terme ou corriger une erreur sans créer une nouvelle référence. À l’inverse, un nom proche ne garantit pas que le produit soit identique. La ressemblance des titres de rubriques ne précise pas non plus si une caractéristique concernait une variété, une espèce ou l’ensemble d’un groupe.</w:t>
        <w:br/>
        <w:br/>
        <w:t>Si un lien reste incertain, transmettez au fournisseur une question précise portant sur l’article concerné, son code et la caractéristique en cause. Évitez de fusionner ou de séparer des fiches sur la seule base d’une appellation ähnliche ou d’une impression générale.</w:t>
      </w:r>
    </w:p>
    <w:p>
      <w:pPr>
        <w:pStyle w:val="Heading1"/>
      </w:pPr>
      <w:r>
        <w:t>Quels supports du magasin doivent être vérifiés ?</w:t>
      </w:r>
    </w:p>
    <w:p>
      <w:r>
        <w:t>Identifiez les emplacements qui reprennent l’ancien texte : étiquettes, fiches de formation, supports internes ou descriptions de vente.ILS ont pu être copiés à des moments différents et ne nécessitent donc pas tous une réécriture immédiate. Le but est de maintenir une présentation cohérente sans traiter chaque variation éditoriale mineure comme une rupture de produit.</w:t>
        <w:br/>
        <w:br/>
        <w:t>Si la modification touche une caractéristique qui avait motivé un conseil, déterminez sa portée avant de répondre à de nouvelles demandes. Une mention retirée ne prouve pas que la propriété n’existe plus. De même, une mention ajoutée ne peut pas être attribuée rétroactivement aux produits antérieurs. Consignez ce qui est confirmé et maintenez visibles les questions encore ouvertes.</w:t>
      </w:r>
    </w:p>
    <w:p>
      <w:pPr>
        <w:pStyle w:val="Heading1"/>
      </w:pPr>
      <w:r>
        <w:t>Comment clore la vérification sans créer de nouvelles contradictions ?</w:t>
      </w:r>
    </w:p>
    <w:p>
      <w:r>
        <w:t>Une fois la réponse obtenue, datez la conclusion et actualisez les supports concernés. Ajoutez une trace courte expliquant le motif : correction du vocabulaire, précision d’identité ou autre élément confirmé. Cette information indique quelle version utiliser et évite de relancer la même enquête lors d’une prochaine évolution.</w:t>
        <w:br/>
        <w:br/>
        <w:t>Cette gestion légère des versions relie chaque décision d’achat aux éléments qui l’ont fondée. Elle permet au revendeur de faire évoluer ses documents tout en préservant la continuité du conseil et en fournissant au client une information vérifiée au niveau de la référence, avec les limites encore inconnues clairement conservées.</w:t>
      </w:r>
    </w:p>
    <w:p>
      <w:pPr>
        <w:pStyle w:val="Heading1"/>
      </w:pPr>
      <w:r>
        <w:t>Articles associés</w:t>
      </w:r>
    </w:p>
    <w:p>
      <w:hyperlink r:id="rId9">
        <w:r>
          <w:rPr>
            <w:color w:val="087E75"/>
          </w:rPr>
          <w:t>Une description de semences change : conserver ce qui a fondé votre choix</w:t>
        </w:r>
      </w:hyperlink>
    </w:p>
    <w:p>
      <w:hyperlink r:id="rId10">
        <w:r>
          <w:rPr>
            <w:color w:val="087E75"/>
          </w:rPr>
          <w:t>Maïs ornemental : partir de la destination annoncée plutôt que du mot maïs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pages.dev/une-description-de-semences-change-conserver-ce-qui-a-fonde-votre-choix/" TargetMode="External"/><Relationship Id="rId10" Type="http://schemas.openxmlformats.org/officeDocument/2006/relationships/hyperlink" Target="https://bulkseedsinternational-fr.pages.dev/mais-ornemental-partir-de-la-destination-annoncee-plutot-que-du-mot-ma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